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7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CONSORCIOS o UNIONES TEMPORALES</w:t>
      </w:r>
    </w:p>
    <w:p w:rsidR="00000000" w:rsidDel="00000000" w:rsidP="00000000" w:rsidRDefault="00000000" w:rsidRPr="00000000" w14:paraId="00000007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vigentes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El presente formato debe ser diligenciado por cada uno de los Integrantes del Consorcio o la Unión Temporal</w:t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9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A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7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9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-95249</wp:posOffset>
          </wp:positionV>
          <wp:extent cx="905827" cy="677401"/>
          <wp:effectExtent b="0" l="0" r="0" t="0"/>
          <wp:wrapNone/>
          <wp:docPr id="2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</w:t>
    </w:r>
  </w:p>
  <w:p w:rsidR="00000000" w:rsidDel="00000000" w:rsidP="00000000" w:rsidRDefault="00000000" w:rsidRPr="00000000" w14:paraId="0000003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nknbI4sgIZoOnd9v5u1JtPeV0w==">CgMxLjAyCWguMjZpbjFyZzgAciExWGQ1NDhlZE9RR0VXRnhMZ3J3SDYxLVhQVzQ2X21YV1U=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